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E9" w:rsidRDefault="006801E9" w:rsidP="006801E9">
      <w:pPr>
        <w:bidi w:val="0"/>
        <w:spacing w:after="100" w:afterAutospacing="1" w:line="240" w:lineRule="auto"/>
        <w:rPr>
          <w:rFonts w:ascii="Helvetica" w:eastAsia="Times New Roman" w:hAnsi="Helvetica" w:cs="Arial" w:hint="cs"/>
          <w:b/>
          <w:bCs/>
          <w:color w:val="333333"/>
          <w:sz w:val="24"/>
          <w:szCs w:val="24"/>
          <w:rtl/>
          <w:lang w:val="en"/>
        </w:rPr>
      </w:pPr>
      <w:bookmarkStart w:id="0" w:name="_GoBack"/>
      <w:bookmarkEnd w:id="0"/>
      <w:proofErr w:type="spellStart"/>
      <w:r>
        <w:rPr>
          <w:rFonts w:ascii="Helvetica" w:eastAsia="Times New Roman" w:hAnsi="Helvetica" w:cs="Arial" w:hint="cs"/>
          <w:b/>
          <w:bCs/>
          <w:color w:val="333333"/>
          <w:sz w:val="24"/>
          <w:szCs w:val="24"/>
          <w:rtl/>
          <w:lang w:val="en"/>
        </w:rPr>
        <w:t>سولفوریک</w:t>
      </w:r>
      <w:proofErr w:type="spellEnd"/>
      <w:r>
        <w:rPr>
          <w:rFonts w:ascii="Helvetica" w:eastAsia="Times New Roman" w:hAnsi="Helvetica" w:cs="Arial" w:hint="cs"/>
          <w:b/>
          <w:bCs/>
          <w:color w:val="333333"/>
          <w:sz w:val="24"/>
          <w:szCs w:val="24"/>
          <w:rtl/>
          <w:lang w:val="en"/>
        </w:rPr>
        <w:t xml:space="preserve"> </w:t>
      </w:r>
      <w:proofErr w:type="spellStart"/>
      <w:r>
        <w:rPr>
          <w:rFonts w:ascii="Helvetica" w:eastAsia="Times New Roman" w:hAnsi="Helvetica" w:cs="Arial" w:hint="cs"/>
          <w:b/>
          <w:bCs/>
          <w:color w:val="333333"/>
          <w:sz w:val="24"/>
          <w:szCs w:val="24"/>
          <w:rtl/>
          <w:lang w:val="en"/>
        </w:rPr>
        <w:t>آنودایز</w:t>
      </w:r>
      <w:proofErr w:type="spellEnd"/>
      <w:r>
        <w:rPr>
          <w:rFonts w:ascii="Helvetica" w:eastAsia="Times New Roman" w:hAnsi="Helvetica" w:cs="Arial" w:hint="cs"/>
          <w:b/>
          <w:bCs/>
          <w:color w:val="333333"/>
          <w:sz w:val="24"/>
          <w:szCs w:val="24"/>
          <w:rtl/>
          <w:lang w:val="en"/>
        </w:rPr>
        <w:t xml:space="preserve"> </w:t>
      </w:r>
    </w:p>
    <w:p w:rsidR="006801E9" w:rsidRPr="006801E9" w:rsidRDefault="006801E9" w:rsidP="006801E9">
      <w:pPr>
        <w:bidi w:val="0"/>
        <w:spacing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b/>
          <w:bCs/>
          <w:color w:val="333333"/>
          <w:sz w:val="24"/>
          <w:szCs w:val="24"/>
          <w:lang w:val="en"/>
        </w:rPr>
        <w:t>Sulfuric Acid Anodize Titration Procedure</w:t>
      </w:r>
      <w:proofErr w:type="gramStart"/>
      <w:r w:rsidRPr="006801E9">
        <w:rPr>
          <w:rFonts w:ascii="Helvetica" w:eastAsia="Times New Roman" w:hAnsi="Helvetica" w:cs="Arial"/>
          <w:b/>
          <w:bCs/>
          <w:color w:val="333333"/>
          <w:sz w:val="24"/>
          <w:szCs w:val="24"/>
          <w:lang w:val="en"/>
        </w:rPr>
        <w:t>:</w:t>
      </w:r>
      <w:proofErr w:type="gramEnd"/>
      <w:r w:rsidRPr="006801E9">
        <w:rPr>
          <w:rFonts w:ascii="Helvetica" w:eastAsia="Times New Roman" w:hAnsi="Helvetica" w:cs="Arial"/>
          <w:color w:val="333333"/>
          <w:sz w:val="24"/>
          <w:szCs w:val="24"/>
          <w:lang w:val="en"/>
        </w:rPr>
        <w:br/>
      </w:r>
      <w:r w:rsidRPr="006801E9">
        <w:rPr>
          <w:rFonts w:ascii="Helvetica" w:eastAsia="Times New Roman" w:hAnsi="Helvetica" w:cs="Arial"/>
          <w:i/>
          <w:iCs/>
          <w:color w:val="333333"/>
          <w:sz w:val="24"/>
          <w:szCs w:val="24"/>
          <w:lang w:val="en"/>
        </w:rPr>
        <w:t>Principle:</w:t>
      </w:r>
      <w:r w:rsidRPr="006801E9">
        <w:rPr>
          <w:rFonts w:ascii="Helvetica" w:eastAsia="Times New Roman" w:hAnsi="Helvetica" w:cs="Arial"/>
          <w:color w:val="333333"/>
          <w:sz w:val="24"/>
          <w:szCs w:val="24"/>
          <w:lang w:val="en"/>
        </w:rPr>
        <w:t xml:space="preserve"> One sample is titrated with caustic soda to determine the sum of acid and aluminum. Another is treated with potassium fluoride to precipitate aluminum and titrated to determine acid. The difference is calculated as aluminum.</w:t>
      </w:r>
      <w:r w:rsidRPr="006801E9">
        <w:rPr>
          <w:rFonts w:ascii="Helvetica" w:eastAsia="Times New Roman" w:hAnsi="Helvetica" w:cs="Arial"/>
          <w:color w:val="333333"/>
          <w:sz w:val="24"/>
          <w:szCs w:val="24"/>
          <w:lang w:val="en"/>
        </w:rPr>
        <w:br/>
      </w:r>
      <w:r w:rsidRPr="006801E9">
        <w:rPr>
          <w:rFonts w:ascii="Helvetica" w:eastAsia="Times New Roman" w:hAnsi="Helvetica" w:cs="Arial"/>
          <w:i/>
          <w:iCs/>
          <w:color w:val="333333"/>
          <w:sz w:val="24"/>
          <w:szCs w:val="24"/>
          <w:lang w:val="en"/>
        </w:rPr>
        <w:t>Reagents:</w:t>
      </w:r>
      <w:r w:rsidRPr="006801E9">
        <w:rPr>
          <w:rFonts w:ascii="Helvetica" w:eastAsia="Times New Roman" w:hAnsi="Helvetica" w:cs="Arial"/>
          <w:color w:val="333333"/>
          <w:sz w:val="24"/>
          <w:szCs w:val="24"/>
          <w:lang w:val="en"/>
        </w:rPr>
        <w:t xml:space="preserve"> Standard sodium hydroxide solution, 1.0 N. Potassium fluoride solution. Dissolve 50 g KF</w:t>
      </w:r>
      <w:proofErr w:type="gramStart"/>
      <w:r w:rsidRPr="006801E9">
        <w:rPr>
          <w:rFonts w:ascii="Helvetica" w:eastAsia="Times New Roman" w:hAnsi="Helvetica" w:cs="Arial"/>
          <w:color w:val="333333"/>
          <w:sz w:val="24"/>
          <w:szCs w:val="24"/>
          <w:lang w:val="en"/>
        </w:rPr>
        <w:t>:2H</w:t>
      </w:r>
      <w:r w:rsidRPr="006801E9">
        <w:rPr>
          <w:rFonts w:ascii="Helvetica" w:eastAsia="Times New Roman" w:hAnsi="Helvetica" w:cs="Arial"/>
          <w:color w:val="333333"/>
          <w:sz w:val="18"/>
          <w:szCs w:val="18"/>
          <w:vertAlign w:val="subscript"/>
          <w:lang w:val="en"/>
        </w:rPr>
        <w:t>2</w:t>
      </w:r>
      <w:r w:rsidRPr="006801E9">
        <w:rPr>
          <w:rFonts w:ascii="Helvetica" w:eastAsia="Times New Roman" w:hAnsi="Helvetica" w:cs="Arial"/>
          <w:color w:val="333333"/>
          <w:sz w:val="24"/>
          <w:szCs w:val="24"/>
          <w:lang w:val="en"/>
        </w:rPr>
        <w:t>O</w:t>
      </w:r>
      <w:proofErr w:type="gramEnd"/>
      <w:r w:rsidRPr="006801E9">
        <w:rPr>
          <w:rFonts w:ascii="Helvetica" w:eastAsia="Times New Roman" w:hAnsi="Helvetica" w:cs="Arial"/>
          <w:color w:val="333333"/>
          <w:sz w:val="24"/>
          <w:szCs w:val="24"/>
          <w:lang w:val="en"/>
        </w:rPr>
        <w:t xml:space="preserve"> in 100 mL of water and neutralize to phenolphthalein. Store in a plastic container. (KF will etch glass.)</w:t>
      </w:r>
      <w:r w:rsidRPr="006801E9">
        <w:rPr>
          <w:rFonts w:ascii="Helvetica" w:eastAsia="Times New Roman" w:hAnsi="Helvetica" w:cs="Arial"/>
          <w:color w:val="333333"/>
          <w:sz w:val="24"/>
          <w:szCs w:val="24"/>
          <w:lang w:val="en"/>
        </w:rPr>
        <w:br/>
      </w:r>
      <w:r w:rsidRPr="006801E9">
        <w:rPr>
          <w:rFonts w:ascii="Helvetica" w:eastAsia="Times New Roman" w:hAnsi="Helvetica" w:cs="Arial"/>
          <w:i/>
          <w:iCs/>
          <w:color w:val="333333"/>
          <w:sz w:val="24"/>
          <w:szCs w:val="24"/>
          <w:lang w:val="en"/>
        </w:rPr>
        <w:t>Procedure:</w:t>
      </w:r>
      <w:r w:rsidRPr="006801E9">
        <w:rPr>
          <w:rFonts w:ascii="Helvetica" w:eastAsia="Times New Roman" w:hAnsi="Helvetica" w:cs="Arial"/>
          <w:color w:val="333333"/>
          <w:sz w:val="24"/>
          <w:szCs w:val="24"/>
          <w:lang w:val="en"/>
        </w:rPr>
        <w:t xml:space="preserve"> Take two separate 10 mL samples, dilute each to about 150 mL with DI or distilled water and add phenolphthalein. While stirring vigorously, titrate one portion with standard caustic to the indicator end point. Record the titrant volume as “A.”</w:t>
      </w:r>
      <w:r w:rsidRPr="006801E9">
        <w:rPr>
          <w:rFonts w:ascii="Helvetica" w:eastAsia="Times New Roman" w:hAnsi="Helvetica" w:cs="Arial"/>
          <w:color w:val="333333"/>
          <w:sz w:val="24"/>
          <w:szCs w:val="24"/>
          <w:lang w:val="en"/>
        </w:rPr>
        <w:br/>
        <w:t>Titrate the other portion slowly with standard caustic until the alumina that forms with the addition of each drop is only slowly re-dissolved. Now add 20 mL potassium fluoride solution (or about 5 g KF powder – a rounded plastic spoonful) and continue the titration to the phenolphthalein endpoint. Record the titrant volume as “B.”</w:t>
      </w:r>
      <w:r w:rsidRPr="006801E9">
        <w:rPr>
          <w:rFonts w:ascii="Helvetica" w:eastAsia="Times New Roman" w:hAnsi="Helvetica" w:cs="Arial"/>
          <w:color w:val="333333"/>
          <w:sz w:val="24"/>
          <w:szCs w:val="24"/>
          <w:lang w:val="en"/>
        </w:rPr>
        <w:br/>
      </w:r>
      <w:r w:rsidRPr="006801E9">
        <w:rPr>
          <w:rFonts w:ascii="Helvetica" w:eastAsia="Times New Roman" w:hAnsi="Helvetica" w:cs="Arial"/>
          <w:i/>
          <w:iCs/>
          <w:color w:val="333333"/>
          <w:sz w:val="24"/>
          <w:szCs w:val="24"/>
          <w:lang w:val="en"/>
        </w:rPr>
        <w:t>Calculations</w:t>
      </w:r>
      <w:proofErr w:type="gramStart"/>
      <w:r w:rsidRPr="006801E9">
        <w:rPr>
          <w:rFonts w:ascii="Helvetica" w:eastAsia="Times New Roman" w:hAnsi="Helvetica" w:cs="Arial"/>
          <w:i/>
          <w:iCs/>
          <w:color w:val="333333"/>
          <w:sz w:val="24"/>
          <w:szCs w:val="24"/>
          <w:lang w:val="en"/>
        </w:rPr>
        <w:t>:</w:t>
      </w:r>
      <w:proofErr w:type="gramEnd"/>
      <w:r w:rsidRPr="006801E9">
        <w:rPr>
          <w:rFonts w:ascii="Helvetica" w:eastAsia="Times New Roman" w:hAnsi="Helvetica" w:cs="Arial"/>
          <w:color w:val="333333"/>
          <w:sz w:val="24"/>
          <w:szCs w:val="24"/>
          <w:lang w:val="en"/>
        </w:rPr>
        <w:br/>
        <w:t>Free H</w:t>
      </w:r>
      <w:r w:rsidRPr="006801E9">
        <w:rPr>
          <w:rFonts w:ascii="Helvetica" w:eastAsia="Times New Roman" w:hAnsi="Helvetica" w:cs="Arial"/>
          <w:color w:val="333333"/>
          <w:sz w:val="18"/>
          <w:szCs w:val="18"/>
          <w:vertAlign w:val="subscript"/>
          <w:lang w:val="en"/>
        </w:rPr>
        <w:t>2</w:t>
      </w:r>
      <w:r w:rsidRPr="006801E9">
        <w:rPr>
          <w:rFonts w:ascii="Helvetica" w:eastAsia="Times New Roman" w:hAnsi="Helvetica" w:cs="Arial"/>
          <w:color w:val="333333"/>
          <w:sz w:val="24"/>
          <w:szCs w:val="24"/>
          <w:lang w:val="en"/>
        </w:rPr>
        <w:t>SO</w:t>
      </w:r>
      <w:r w:rsidRPr="006801E9">
        <w:rPr>
          <w:rFonts w:ascii="Helvetica" w:eastAsia="Times New Roman" w:hAnsi="Helvetica" w:cs="Arial"/>
          <w:color w:val="333333"/>
          <w:sz w:val="18"/>
          <w:szCs w:val="18"/>
          <w:vertAlign w:val="subscript"/>
          <w:lang w:val="en"/>
        </w:rPr>
        <w:t>4</w:t>
      </w:r>
      <w:r w:rsidRPr="006801E9">
        <w:rPr>
          <w:rFonts w:ascii="Helvetica" w:eastAsia="Times New Roman" w:hAnsi="Helvetica" w:cs="Arial"/>
          <w:color w:val="333333"/>
          <w:sz w:val="24"/>
          <w:szCs w:val="24"/>
          <w:lang w:val="en"/>
        </w:rPr>
        <w:t xml:space="preserve">, g/L = B × normality of </w:t>
      </w:r>
      <w:proofErr w:type="spellStart"/>
      <w:r w:rsidRPr="006801E9">
        <w:rPr>
          <w:rFonts w:ascii="Helvetica" w:eastAsia="Times New Roman" w:hAnsi="Helvetica" w:cs="Arial"/>
          <w:color w:val="333333"/>
          <w:sz w:val="24"/>
          <w:szCs w:val="24"/>
          <w:lang w:val="en"/>
        </w:rPr>
        <w:t>NaOH</w:t>
      </w:r>
      <w:proofErr w:type="spellEnd"/>
      <w:r w:rsidRPr="006801E9">
        <w:rPr>
          <w:rFonts w:ascii="Helvetica" w:eastAsia="Times New Roman" w:hAnsi="Helvetica" w:cs="Arial"/>
          <w:color w:val="333333"/>
          <w:sz w:val="24"/>
          <w:szCs w:val="24"/>
          <w:lang w:val="en"/>
        </w:rPr>
        <w:t xml:space="preserve"> × 4.9.</w:t>
      </w:r>
      <w:r w:rsidRPr="006801E9">
        <w:rPr>
          <w:rFonts w:ascii="Helvetica" w:eastAsia="Times New Roman" w:hAnsi="Helvetica" w:cs="Arial"/>
          <w:color w:val="333333"/>
          <w:sz w:val="24"/>
          <w:szCs w:val="24"/>
          <w:lang w:val="en"/>
        </w:rPr>
        <w:br/>
        <w:t xml:space="preserve">Aluminum, g/L = (A – B) × normality of </w:t>
      </w:r>
      <w:proofErr w:type="spellStart"/>
      <w:r w:rsidRPr="006801E9">
        <w:rPr>
          <w:rFonts w:ascii="Helvetica" w:eastAsia="Times New Roman" w:hAnsi="Helvetica" w:cs="Arial"/>
          <w:color w:val="333333"/>
          <w:sz w:val="24"/>
          <w:szCs w:val="24"/>
          <w:lang w:val="en"/>
        </w:rPr>
        <w:t>NaOH</w:t>
      </w:r>
      <w:proofErr w:type="spellEnd"/>
      <w:r w:rsidRPr="006801E9">
        <w:rPr>
          <w:rFonts w:ascii="Helvetica" w:eastAsia="Times New Roman" w:hAnsi="Helvetica" w:cs="Arial"/>
          <w:color w:val="333333"/>
          <w:sz w:val="24"/>
          <w:szCs w:val="24"/>
          <w:lang w:val="en"/>
        </w:rPr>
        <w:t xml:space="preserve"> × 0.9.</w:t>
      </w:r>
    </w:p>
    <w:p w:rsidR="006801E9" w:rsidRPr="006801E9" w:rsidRDefault="006801E9" w:rsidP="006801E9">
      <w:pPr>
        <w:bidi w:val="0"/>
        <w:spacing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b/>
          <w:bCs/>
          <w:color w:val="333333"/>
          <w:sz w:val="24"/>
          <w:szCs w:val="24"/>
          <w:lang w:val="en"/>
        </w:rPr>
        <w:t>Titration Method for Sulfuric Acid Anodizing Bath Using Methyl Orange as Indicator:</w:t>
      </w:r>
    </w:p>
    <w:p w:rsidR="006801E9" w:rsidRPr="006801E9" w:rsidRDefault="006801E9" w:rsidP="006801E9">
      <w:pPr>
        <w:numPr>
          <w:ilvl w:val="0"/>
          <w:numId w:val="1"/>
        </w:numPr>
        <w:bidi w:val="0"/>
        <w:spacing w:before="100" w:beforeAutospacing="1"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Pipette a 5.0 mL sample of the bath into a 250 mL Erlenmeyer flask.</w:t>
      </w:r>
    </w:p>
    <w:p w:rsidR="006801E9" w:rsidRPr="006801E9" w:rsidRDefault="006801E9" w:rsidP="006801E9">
      <w:pPr>
        <w:numPr>
          <w:ilvl w:val="0"/>
          <w:numId w:val="1"/>
        </w:numPr>
        <w:bidi w:val="0"/>
        <w:spacing w:before="100" w:beforeAutospacing="1"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Dilute to about 50 mL with DI water.</w:t>
      </w:r>
    </w:p>
    <w:p w:rsidR="006801E9" w:rsidRPr="006801E9" w:rsidRDefault="006801E9" w:rsidP="006801E9">
      <w:pPr>
        <w:numPr>
          <w:ilvl w:val="0"/>
          <w:numId w:val="1"/>
        </w:numPr>
        <w:bidi w:val="0"/>
        <w:spacing w:before="100" w:beforeAutospacing="1"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Add a few drops of methyl orange indicator.</w:t>
      </w:r>
    </w:p>
    <w:p w:rsidR="006801E9" w:rsidRPr="006801E9" w:rsidRDefault="006801E9" w:rsidP="006801E9">
      <w:pPr>
        <w:numPr>
          <w:ilvl w:val="0"/>
          <w:numId w:val="1"/>
        </w:numPr>
        <w:bidi w:val="0"/>
        <w:spacing w:before="100" w:beforeAutospacing="1"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 xml:space="preserve">Titrate with “B” mL of 1.0N </w:t>
      </w:r>
      <w:proofErr w:type="spellStart"/>
      <w:r w:rsidRPr="006801E9">
        <w:rPr>
          <w:rFonts w:ascii="Helvetica" w:eastAsia="Times New Roman" w:hAnsi="Helvetica" w:cs="Arial"/>
          <w:color w:val="333333"/>
          <w:sz w:val="24"/>
          <w:szCs w:val="24"/>
          <w:lang w:val="en"/>
        </w:rPr>
        <w:t>NaOH</w:t>
      </w:r>
      <w:proofErr w:type="spellEnd"/>
      <w:r w:rsidRPr="006801E9">
        <w:rPr>
          <w:rFonts w:ascii="Helvetica" w:eastAsia="Times New Roman" w:hAnsi="Helvetica" w:cs="Arial"/>
          <w:color w:val="333333"/>
          <w:sz w:val="24"/>
          <w:szCs w:val="24"/>
          <w:lang w:val="en"/>
        </w:rPr>
        <w:t xml:space="preserve"> from orange to a yellow endpoint.</w:t>
      </w:r>
    </w:p>
    <w:p w:rsidR="006801E9" w:rsidRPr="006801E9" w:rsidRDefault="006801E9" w:rsidP="006801E9">
      <w:pPr>
        <w:bidi w:val="0"/>
        <w:spacing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i/>
          <w:iCs/>
          <w:color w:val="333333"/>
          <w:sz w:val="24"/>
          <w:szCs w:val="24"/>
          <w:lang w:val="en"/>
        </w:rPr>
        <w:t>Calculation:</w:t>
      </w:r>
      <w:r w:rsidRPr="006801E9">
        <w:rPr>
          <w:rFonts w:ascii="Helvetica" w:eastAsia="Times New Roman" w:hAnsi="Helvetica" w:cs="Arial"/>
          <w:color w:val="333333"/>
          <w:sz w:val="24"/>
          <w:szCs w:val="24"/>
          <w:lang w:val="en"/>
        </w:rPr>
        <w:t xml:space="preserve"> </w:t>
      </w:r>
      <w:r w:rsidRPr="006801E9">
        <w:rPr>
          <w:rFonts w:ascii="Helvetica" w:eastAsia="Times New Roman" w:hAnsi="Helvetica" w:cs="Arial"/>
          <w:color w:val="333333"/>
          <w:sz w:val="24"/>
          <w:szCs w:val="24"/>
          <w:lang w:val="en"/>
        </w:rPr>
        <w:br/>
        <w:t>“B” mL × 9.8 = g/L H</w:t>
      </w:r>
      <w:r w:rsidRPr="006801E9">
        <w:rPr>
          <w:rFonts w:ascii="Helvetica" w:eastAsia="Times New Roman" w:hAnsi="Helvetica" w:cs="Arial"/>
          <w:color w:val="333333"/>
          <w:sz w:val="18"/>
          <w:szCs w:val="18"/>
          <w:vertAlign w:val="subscript"/>
          <w:lang w:val="en"/>
        </w:rPr>
        <w:t>2</w:t>
      </w:r>
      <w:r w:rsidRPr="006801E9">
        <w:rPr>
          <w:rFonts w:ascii="Helvetica" w:eastAsia="Times New Roman" w:hAnsi="Helvetica" w:cs="Arial"/>
          <w:color w:val="333333"/>
          <w:sz w:val="24"/>
          <w:szCs w:val="24"/>
          <w:lang w:val="en"/>
        </w:rPr>
        <w:t>SO</w:t>
      </w:r>
      <w:r w:rsidRPr="006801E9">
        <w:rPr>
          <w:rFonts w:ascii="Helvetica" w:eastAsia="Times New Roman" w:hAnsi="Helvetica" w:cs="Arial"/>
          <w:color w:val="333333"/>
          <w:sz w:val="18"/>
          <w:szCs w:val="18"/>
          <w:vertAlign w:val="subscript"/>
          <w:lang w:val="en"/>
        </w:rPr>
        <w:t>4</w:t>
      </w:r>
    </w:p>
    <w:p w:rsidR="006801E9" w:rsidRPr="006801E9" w:rsidRDefault="006801E9" w:rsidP="006801E9">
      <w:pPr>
        <w:numPr>
          <w:ilvl w:val="0"/>
          <w:numId w:val="2"/>
        </w:numPr>
        <w:bidi w:val="0"/>
        <w:spacing w:before="100" w:beforeAutospacing="1"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Add a few drops of phenolphthalein indicator.</w:t>
      </w:r>
    </w:p>
    <w:p w:rsidR="006801E9" w:rsidRPr="006801E9" w:rsidRDefault="006801E9" w:rsidP="006801E9">
      <w:pPr>
        <w:numPr>
          <w:ilvl w:val="0"/>
          <w:numId w:val="2"/>
        </w:numPr>
        <w:bidi w:val="0"/>
        <w:spacing w:before="100" w:beforeAutospacing="1"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Titrate to a total of “</w:t>
      </w:r>
      <w:proofErr w:type="gramStart"/>
      <w:r w:rsidRPr="006801E9">
        <w:rPr>
          <w:rFonts w:ascii="Helvetica" w:eastAsia="Times New Roman" w:hAnsi="Helvetica" w:cs="Arial"/>
          <w:color w:val="333333"/>
          <w:sz w:val="24"/>
          <w:szCs w:val="24"/>
          <w:lang w:val="en"/>
        </w:rPr>
        <w:t>A</w:t>
      </w:r>
      <w:proofErr w:type="gramEnd"/>
      <w:r w:rsidRPr="006801E9">
        <w:rPr>
          <w:rFonts w:ascii="Helvetica" w:eastAsia="Times New Roman" w:hAnsi="Helvetica" w:cs="Arial"/>
          <w:color w:val="333333"/>
          <w:sz w:val="24"/>
          <w:szCs w:val="24"/>
          <w:lang w:val="en"/>
        </w:rPr>
        <w:t xml:space="preserve">” mL with 1.0 N </w:t>
      </w:r>
      <w:proofErr w:type="spellStart"/>
      <w:r w:rsidRPr="006801E9">
        <w:rPr>
          <w:rFonts w:ascii="Helvetica" w:eastAsia="Times New Roman" w:hAnsi="Helvetica" w:cs="Arial"/>
          <w:color w:val="333333"/>
          <w:sz w:val="24"/>
          <w:szCs w:val="24"/>
          <w:lang w:val="en"/>
        </w:rPr>
        <w:t>NaOH</w:t>
      </w:r>
      <w:proofErr w:type="spellEnd"/>
      <w:r w:rsidRPr="006801E9">
        <w:rPr>
          <w:rFonts w:ascii="Helvetica" w:eastAsia="Times New Roman" w:hAnsi="Helvetica" w:cs="Arial"/>
          <w:color w:val="333333"/>
          <w:sz w:val="24"/>
          <w:szCs w:val="24"/>
          <w:lang w:val="en"/>
        </w:rPr>
        <w:t xml:space="preserve"> from colorless to pink endpoint.</w:t>
      </w:r>
    </w:p>
    <w:p w:rsidR="006801E9" w:rsidRPr="006801E9" w:rsidRDefault="006801E9" w:rsidP="006801E9">
      <w:pPr>
        <w:bidi w:val="0"/>
        <w:spacing w:before="100" w:beforeAutospacing="1" w:after="100" w:afterAutospacing="1" w:line="240" w:lineRule="auto"/>
        <w:ind w:left="720"/>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(Slight pink color that persists is proper endpoint.)</w:t>
      </w:r>
    </w:p>
    <w:p w:rsidR="006801E9" w:rsidRPr="006801E9" w:rsidRDefault="006801E9" w:rsidP="006801E9">
      <w:pPr>
        <w:bidi w:val="0"/>
        <w:spacing w:after="0" w:line="240" w:lineRule="auto"/>
        <w:rPr>
          <w:rFonts w:ascii="Helvetica" w:eastAsia="Times New Roman" w:hAnsi="Helvetica" w:cs="Arial"/>
          <w:color w:val="333333"/>
          <w:sz w:val="24"/>
          <w:szCs w:val="24"/>
          <w:lang w:val="en"/>
        </w:rPr>
      </w:pPr>
      <w:r w:rsidRPr="006801E9">
        <w:rPr>
          <w:rFonts w:ascii="Helvetica" w:eastAsia="Times New Roman" w:hAnsi="Helvetica" w:cs="Arial"/>
          <w:i/>
          <w:iCs/>
          <w:color w:val="333333"/>
          <w:sz w:val="24"/>
          <w:szCs w:val="24"/>
          <w:lang w:val="en"/>
        </w:rPr>
        <w:t>Calculation:</w:t>
      </w:r>
      <w:r w:rsidRPr="006801E9">
        <w:rPr>
          <w:rFonts w:ascii="Helvetica" w:eastAsia="Times New Roman" w:hAnsi="Helvetica" w:cs="Arial"/>
          <w:color w:val="333333"/>
          <w:sz w:val="24"/>
          <w:szCs w:val="24"/>
          <w:lang w:val="en"/>
        </w:rPr>
        <w:t xml:space="preserve"> </w:t>
      </w:r>
      <w:r w:rsidRPr="006801E9">
        <w:rPr>
          <w:rFonts w:ascii="Helvetica" w:eastAsia="Times New Roman" w:hAnsi="Helvetica" w:cs="Arial"/>
          <w:color w:val="333333"/>
          <w:sz w:val="24"/>
          <w:szCs w:val="24"/>
          <w:lang w:val="en"/>
        </w:rPr>
        <w:br/>
        <w:t xml:space="preserve">“A” mL – “B” mL of </w:t>
      </w:r>
      <w:proofErr w:type="spellStart"/>
      <w:r w:rsidRPr="006801E9">
        <w:rPr>
          <w:rFonts w:ascii="Helvetica" w:eastAsia="Times New Roman" w:hAnsi="Helvetica" w:cs="Arial"/>
          <w:color w:val="333333"/>
          <w:sz w:val="24"/>
          <w:szCs w:val="24"/>
          <w:lang w:val="en"/>
        </w:rPr>
        <w:t>NaOH</w:t>
      </w:r>
      <w:proofErr w:type="spellEnd"/>
      <w:r w:rsidRPr="006801E9">
        <w:rPr>
          <w:rFonts w:ascii="Helvetica" w:eastAsia="Times New Roman" w:hAnsi="Helvetica" w:cs="Arial"/>
          <w:color w:val="333333"/>
          <w:sz w:val="24"/>
          <w:szCs w:val="24"/>
          <w:lang w:val="en"/>
        </w:rPr>
        <w:t xml:space="preserve"> × 1.8 = g/L dissolved aluminum</w:t>
      </w:r>
    </w:p>
    <w:p w:rsidR="006801E9" w:rsidRPr="006801E9" w:rsidRDefault="006801E9" w:rsidP="006801E9">
      <w:pPr>
        <w:bidi w:val="0"/>
        <w:spacing w:after="100" w:afterAutospacing="1" w:line="240" w:lineRule="auto"/>
        <w:rPr>
          <w:rFonts w:ascii="Helvetica" w:eastAsia="Times New Roman" w:hAnsi="Helvetica" w:cs="Arial"/>
          <w:color w:val="333333"/>
          <w:sz w:val="24"/>
          <w:szCs w:val="24"/>
          <w:lang w:val="en"/>
        </w:rPr>
      </w:pPr>
      <w:proofErr w:type="gramStart"/>
      <w:r w:rsidRPr="006801E9">
        <w:rPr>
          <w:rFonts w:ascii="Helvetica" w:eastAsia="Times New Roman" w:hAnsi="Helvetica" w:cs="Arial"/>
          <w:b/>
          <w:bCs/>
          <w:color w:val="333333"/>
          <w:sz w:val="24"/>
          <w:szCs w:val="24"/>
          <w:lang w:val="en"/>
        </w:rPr>
        <w:t>pH</w:t>
      </w:r>
      <w:proofErr w:type="gramEnd"/>
      <w:r w:rsidRPr="006801E9">
        <w:rPr>
          <w:rFonts w:ascii="Helvetica" w:eastAsia="Times New Roman" w:hAnsi="Helvetica" w:cs="Arial"/>
          <w:b/>
          <w:bCs/>
          <w:color w:val="333333"/>
          <w:sz w:val="24"/>
          <w:szCs w:val="24"/>
          <w:lang w:val="en"/>
        </w:rPr>
        <w:t xml:space="preserve"> Method:</w:t>
      </w:r>
      <w:r w:rsidRPr="006801E9">
        <w:rPr>
          <w:rFonts w:ascii="Helvetica" w:eastAsia="Times New Roman" w:hAnsi="Helvetica" w:cs="Arial"/>
          <w:color w:val="333333"/>
          <w:sz w:val="24"/>
          <w:szCs w:val="24"/>
          <w:lang w:val="en"/>
        </w:rPr>
        <w:br/>
        <w:t xml:space="preserve">A 5 mL sample of the electrolyte is pipetted into a 400 mL glass beaker and diluted to approximately 200 </w:t>
      </w:r>
      <w:proofErr w:type="spellStart"/>
      <w:r w:rsidRPr="006801E9">
        <w:rPr>
          <w:rFonts w:ascii="Helvetica" w:eastAsia="Times New Roman" w:hAnsi="Helvetica" w:cs="Arial"/>
          <w:color w:val="333333"/>
          <w:sz w:val="24"/>
          <w:szCs w:val="24"/>
          <w:lang w:val="en"/>
        </w:rPr>
        <w:t>mL.</w:t>
      </w:r>
      <w:proofErr w:type="spellEnd"/>
      <w:r w:rsidRPr="006801E9">
        <w:rPr>
          <w:rFonts w:ascii="Helvetica" w:eastAsia="Times New Roman" w:hAnsi="Helvetica" w:cs="Arial"/>
          <w:color w:val="333333"/>
          <w:sz w:val="24"/>
          <w:szCs w:val="24"/>
          <w:lang w:val="en"/>
        </w:rPr>
        <w:t xml:space="preserve"> With the pH electrode inserted and stirring the solution continuously, the diluted sample is titrated using 1.0 N sodium hydroxide solution until a pH of 3.6 is reached. Record the amount of </w:t>
      </w:r>
      <w:proofErr w:type="spellStart"/>
      <w:r w:rsidRPr="006801E9">
        <w:rPr>
          <w:rFonts w:ascii="Helvetica" w:eastAsia="Times New Roman" w:hAnsi="Helvetica" w:cs="Arial"/>
          <w:color w:val="333333"/>
          <w:sz w:val="24"/>
          <w:szCs w:val="24"/>
          <w:lang w:val="en"/>
        </w:rPr>
        <w:t>NaOH</w:t>
      </w:r>
      <w:proofErr w:type="spellEnd"/>
      <w:r w:rsidRPr="006801E9">
        <w:rPr>
          <w:rFonts w:ascii="Helvetica" w:eastAsia="Times New Roman" w:hAnsi="Helvetica" w:cs="Arial"/>
          <w:color w:val="333333"/>
          <w:sz w:val="24"/>
          <w:szCs w:val="24"/>
          <w:lang w:val="en"/>
        </w:rPr>
        <w:t xml:space="preserve"> used as “A.”</w:t>
      </w:r>
    </w:p>
    <w:p w:rsidR="006801E9" w:rsidRPr="006801E9" w:rsidRDefault="006801E9" w:rsidP="006801E9">
      <w:pPr>
        <w:bidi w:val="0"/>
        <w:spacing w:after="100" w:afterAutospacing="1" w:line="240" w:lineRule="auto"/>
        <w:rPr>
          <w:rFonts w:ascii="Helvetica" w:eastAsia="Times New Roman" w:hAnsi="Helvetica" w:cs="Arial"/>
          <w:color w:val="333333"/>
          <w:sz w:val="24"/>
          <w:szCs w:val="24"/>
          <w:lang w:val="en"/>
        </w:rPr>
      </w:pPr>
      <w:r w:rsidRPr="006801E9">
        <w:rPr>
          <w:rFonts w:ascii="Helvetica" w:eastAsia="Times New Roman" w:hAnsi="Helvetica" w:cs="Arial"/>
          <w:color w:val="333333"/>
          <w:sz w:val="24"/>
          <w:szCs w:val="24"/>
          <w:lang w:val="en"/>
        </w:rPr>
        <w:t>Continue titrating until a pH of 10.0 is reached. Record the total amount of sodium hydroxide used as “B.”</w:t>
      </w:r>
      <w:r w:rsidRPr="006801E9">
        <w:rPr>
          <w:rFonts w:ascii="Helvetica" w:eastAsia="Times New Roman" w:hAnsi="Helvetica" w:cs="Arial"/>
          <w:color w:val="333333"/>
          <w:sz w:val="24"/>
          <w:szCs w:val="24"/>
          <w:lang w:val="en"/>
        </w:rPr>
        <w:br/>
      </w:r>
      <w:r w:rsidRPr="006801E9">
        <w:rPr>
          <w:rFonts w:ascii="Helvetica" w:eastAsia="Times New Roman" w:hAnsi="Helvetica" w:cs="Arial"/>
          <w:i/>
          <w:iCs/>
          <w:color w:val="333333"/>
          <w:sz w:val="24"/>
          <w:szCs w:val="24"/>
          <w:lang w:val="en"/>
        </w:rPr>
        <w:t>Calculation</w:t>
      </w:r>
      <w:proofErr w:type="gramStart"/>
      <w:r w:rsidRPr="006801E9">
        <w:rPr>
          <w:rFonts w:ascii="Helvetica" w:eastAsia="Times New Roman" w:hAnsi="Helvetica" w:cs="Arial"/>
          <w:i/>
          <w:iCs/>
          <w:color w:val="333333"/>
          <w:sz w:val="24"/>
          <w:szCs w:val="24"/>
          <w:lang w:val="en"/>
        </w:rPr>
        <w:t>:</w:t>
      </w:r>
      <w:proofErr w:type="gramEnd"/>
      <w:r w:rsidRPr="006801E9">
        <w:rPr>
          <w:rFonts w:ascii="Helvetica" w:eastAsia="Times New Roman" w:hAnsi="Helvetica" w:cs="Arial"/>
          <w:color w:val="333333"/>
          <w:sz w:val="24"/>
          <w:szCs w:val="24"/>
          <w:lang w:val="en"/>
        </w:rPr>
        <w:br/>
        <w:t>“A” × normality of sodium hydroxide × 9.8 = g/L sulfuric acid</w:t>
      </w:r>
      <w:r w:rsidRPr="006801E9">
        <w:rPr>
          <w:rFonts w:ascii="Helvetica" w:eastAsia="Times New Roman" w:hAnsi="Helvetica" w:cs="Arial"/>
          <w:color w:val="333333"/>
          <w:sz w:val="24"/>
          <w:szCs w:val="24"/>
          <w:lang w:val="en"/>
        </w:rPr>
        <w:br/>
        <w:t>(“B” – “A”) × normality of sodium hydroxide × 1.35 = g/L aluminum </w:t>
      </w:r>
    </w:p>
    <w:p w:rsidR="00574C01" w:rsidRPr="006801E9" w:rsidRDefault="00574C01" w:rsidP="006801E9"/>
    <w:sectPr w:rsidR="00574C01" w:rsidRPr="006801E9" w:rsidSect="00B411A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83461"/>
    <w:multiLevelType w:val="multilevel"/>
    <w:tmpl w:val="618E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593D36"/>
    <w:multiLevelType w:val="multilevel"/>
    <w:tmpl w:val="EE1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E9"/>
    <w:rsid w:val="00574C01"/>
    <w:rsid w:val="006801E9"/>
    <w:rsid w:val="00B411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75BEB-44A8-482E-8F24-AEBBB409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01E9"/>
    <w:rPr>
      <w:b/>
      <w:bCs/>
    </w:rPr>
  </w:style>
  <w:style w:type="paragraph" w:styleId="NormalWeb">
    <w:name w:val="Normal (Web)"/>
    <w:basedOn w:val="Normal"/>
    <w:uiPriority w:val="99"/>
    <w:semiHidden/>
    <w:unhideWhenUsed/>
    <w:rsid w:val="006801E9"/>
    <w:pPr>
      <w:bidi w:val="0"/>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0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9920">
      <w:bodyDiv w:val="1"/>
      <w:marLeft w:val="0"/>
      <w:marRight w:val="0"/>
      <w:marTop w:val="0"/>
      <w:marBottom w:val="0"/>
      <w:divBdr>
        <w:top w:val="none" w:sz="0" w:space="0" w:color="auto"/>
        <w:left w:val="none" w:sz="0" w:space="0" w:color="auto"/>
        <w:bottom w:val="none" w:sz="0" w:space="0" w:color="auto"/>
        <w:right w:val="none" w:sz="0" w:space="0" w:color="auto"/>
      </w:divBdr>
      <w:divsChild>
        <w:div w:id="1286808936">
          <w:marLeft w:val="0"/>
          <w:marRight w:val="0"/>
          <w:marTop w:val="0"/>
          <w:marBottom w:val="0"/>
          <w:divBdr>
            <w:top w:val="none" w:sz="0" w:space="0" w:color="auto"/>
            <w:left w:val="none" w:sz="0" w:space="0" w:color="auto"/>
            <w:bottom w:val="none" w:sz="0" w:space="0" w:color="auto"/>
            <w:right w:val="none" w:sz="0" w:space="0" w:color="auto"/>
          </w:divBdr>
          <w:divsChild>
            <w:div w:id="996807293">
              <w:marLeft w:val="0"/>
              <w:marRight w:val="0"/>
              <w:marTop w:val="0"/>
              <w:marBottom w:val="0"/>
              <w:divBdr>
                <w:top w:val="none" w:sz="0" w:space="0" w:color="auto"/>
                <w:left w:val="none" w:sz="0" w:space="0" w:color="auto"/>
                <w:bottom w:val="none" w:sz="0" w:space="0" w:color="auto"/>
                <w:right w:val="none" w:sz="0" w:space="0" w:color="auto"/>
              </w:divBdr>
              <w:divsChild>
                <w:div w:id="1454245576">
                  <w:marLeft w:val="0"/>
                  <w:marRight w:val="0"/>
                  <w:marTop w:val="0"/>
                  <w:marBottom w:val="0"/>
                  <w:divBdr>
                    <w:top w:val="none" w:sz="0" w:space="0" w:color="auto"/>
                    <w:left w:val="none" w:sz="0" w:space="0" w:color="auto"/>
                    <w:bottom w:val="none" w:sz="0" w:space="0" w:color="auto"/>
                    <w:right w:val="none" w:sz="0" w:space="0" w:color="auto"/>
                  </w:divBdr>
                  <w:divsChild>
                    <w:div w:id="334379544">
                      <w:marLeft w:val="0"/>
                      <w:marRight w:val="0"/>
                      <w:marTop w:val="0"/>
                      <w:marBottom w:val="0"/>
                      <w:divBdr>
                        <w:top w:val="none" w:sz="0" w:space="0" w:color="auto"/>
                        <w:left w:val="none" w:sz="0" w:space="0" w:color="auto"/>
                        <w:bottom w:val="none" w:sz="0" w:space="0" w:color="auto"/>
                        <w:right w:val="none" w:sz="0" w:space="0" w:color="auto"/>
                      </w:divBdr>
                      <w:divsChild>
                        <w:div w:id="1920093984">
                          <w:marLeft w:val="0"/>
                          <w:marRight w:val="0"/>
                          <w:marTop w:val="0"/>
                          <w:marBottom w:val="0"/>
                          <w:divBdr>
                            <w:top w:val="none" w:sz="0" w:space="0" w:color="auto"/>
                            <w:left w:val="none" w:sz="0" w:space="0" w:color="auto"/>
                            <w:bottom w:val="none" w:sz="0" w:space="0" w:color="auto"/>
                            <w:right w:val="none" w:sz="0" w:space="0" w:color="auto"/>
                          </w:divBdr>
                          <w:divsChild>
                            <w:div w:id="364792106">
                              <w:marLeft w:val="0"/>
                              <w:marRight w:val="0"/>
                              <w:marTop w:val="0"/>
                              <w:marBottom w:val="0"/>
                              <w:divBdr>
                                <w:top w:val="none" w:sz="0" w:space="0" w:color="auto"/>
                                <w:left w:val="none" w:sz="0" w:space="0" w:color="auto"/>
                                <w:bottom w:val="none" w:sz="0" w:space="0" w:color="auto"/>
                                <w:right w:val="none" w:sz="0" w:space="0" w:color="auto"/>
                              </w:divBdr>
                              <w:divsChild>
                                <w:div w:id="957293314">
                                  <w:marLeft w:val="0"/>
                                  <w:marRight w:val="0"/>
                                  <w:marTop w:val="0"/>
                                  <w:marBottom w:val="0"/>
                                  <w:divBdr>
                                    <w:top w:val="none" w:sz="0" w:space="0" w:color="auto"/>
                                    <w:left w:val="none" w:sz="0" w:space="0" w:color="auto"/>
                                    <w:bottom w:val="none" w:sz="0" w:space="0" w:color="auto"/>
                                    <w:right w:val="none" w:sz="0" w:space="0" w:color="auto"/>
                                  </w:divBdr>
                                  <w:divsChild>
                                    <w:div w:id="1728794544">
                                      <w:marLeft w:val="0"/>
                                      <w:marRight w:val="0"/>
                                      <w:marTop w:val="0"/>
                                      <w:marBottom w:val="0"/>
                                      <w:divBdr>
                                        <w:top w:val="none" w:sz="0" w:space="0" w:color="auto"/>
                                        <w:left w:val="none" w:sz="0" w:space="0" w:color="auto"/>
                                        <w:bottom w:val="none" w:sz="0" w:space="0" w:color="auto"/>
                                        <w:right w:val="none" w:sz="0" w:space="0" w:color="auto"/>
                                      </w:divBdr>
                                      <w:divsChild>
                                        <w:div w:id="404378707">
                                          <w:marLeft w:val="0"/>
                                          <w:marRight w:val="0"/>
                                          <w:marTop w:val="0"/>
                                          <w:marBottom w:val="0"/>
                                          <w:divBdr>
                                            <w:top w:val="none" w:sz="0" w:space="0" w:color="auto"/>
                                            <w:left w:val="none" w:sz="0" w:space="0" w:color="auto"/>
                                            <w:bottom w:val="none" w:sz="0" w:space="0" w:color="auto"/>
                                            <w:right w:val="none" w:sz="0" w:space="0" w:color="auto"/>
                                          </w:divBdr>
                                        </w:div>
                                        <w:div w:id="6632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nestor</cp:lastModifiedBy>
  <cp:revision>1</cp:revision>
  <dcterms:created xsi:type="dcterms:W3CDTF">2019-06-02T13:40:00Z</dcterms:created>
  <dcterms:modified xsi:type="dcterms:W3CDTF">2019-06-02T13:41:00Z</dcterms:modified>
</cp:coreProperties>
</file>